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proofErr w:type="gramStart"/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</w:t>
      </w:r>
      <w:proofErr w:type="gramEnd"/>
      <w:r>
        <w:rPr>
          <w:color w:val="000000" w:themeColor="text1"/>
        </w:rPr>
        <w:t xml:space="preserve">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7564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756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7564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3.6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756425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7564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756425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F201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Jerguš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Brestovský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756425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Simona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Glajzová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756425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75642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Melisa</w:t>
            </w:r>
            <w:proofErr w:type="spellEnd"/>
            <w:r>
              <w:rPr>
                <w:rFonts w:eastAsia="Times New Roman" w:cs="Arial"/>
                <w:color w:val="222222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Gemzická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756425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16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75642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F2013F" w:rsidRDefault="00756425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 xml:space="preserve">Tréningu sa zúčastnili traja pretekári, z toho jedna bola začiatočníčka. Zvládala už však obraty po aj proti vetru, jazdu na </w:t>
      </w:r>
      <w:proofErr w:type="spellStart"/>
      <w:r>
        <w:rPr>
          <w:rFonts w:eastAsia="Times New Roman" w:cs="Arial"/>
          <w:color w:val="222222"/>
          <w:lang w:eastAsia="sk-SK"/>
        </w:rPr>
        <w:t>stupačku</w:t>
      </w:r>
      <w:proofErr w:type="spellEnd"/>
      <w:r>
        <w:rPr>
          <w:rFonts w:eastAsia="Times New Roman" w:cs="Arial"/>
          <w:color w:val="222222"/>
          <w:lang w:eastAsia="sk-SK"/>
        </w:rPr>
        <w:t>, bočný aj zadný vietor. Pre jej ďalší jachtársky rozvoj som sa rozhodla, že postavím jednoduchú trať na oboplávanie a deti budú medzi sebou pretekať. Dokopy boli odjazdené 4 tréningové rozjazdy a deti počas nich trénovali jazdy na každú kurz, obtáčanie bójí, štarty, obraty a </w:t>
      </w:r>
      <w:proofErr w:type="spellStart"/>
      <w:r>
        <w:rPr>
          <w:rFonts w:eastAsia="Times New Roman" w:cs="Arial"/>
          <w:color w:val="222222"/>
          <w:lang w:eastAsia="sk-SK"/>
        </w:rPr>
        <w:t>halzy</w:t>
      </w:r>
      <w:proofErr w:type="spellEnd"/>
      <w:r>
        <w:rPr>
          <w:rFonts w:eastAsia="Times New Roman" w:cs="Arial"/>
          <w:color w:val="222222"/>
          <w:lang w:eastAsia="sk-SK"/>
        </w:rPr>
        <w:t xml:space="preserve">. Jerguš, ktorý bol najskúsenejší spomedzi troch detí zdokonaľoval techniku štartu a prispôsobovanie </w:t>
      </w:r>
      <w:proofErr w:type="spellStart"/>
      <w:r>
        <w:rPr>
          <w:rFonts w:eastAsia="Times New Roman" w:cs="Arial"/>
          <w:color w:val="222222"/>
          <w:lang w:eastAsia="sk-SK"/>
        </w:rPr>
        <w:t>trimu</w:t>
      </w:r>
      <w:proofErr w:type="spellEnd"/>
      <w:r>
        <w:rPr>
          <w:rFonts w:eastAsia="Times New Roman" w:cs="Arial"/>
          <w:color w:val="222222"/>
          <w:lang w:eastAsia="sk-SK"/>
        </w:rPr>
        <w:t xml:space="preserve"> lode na rôzne kurzy. Dievčatám som počas jazdenia vysvetľovala základné  princípy pretekania a správnu techniku jazdenia.</w:t>
      </w:r>
      <w:bookmarkStart w:id="0" w:name="_GoBack"/>
      <w:bookmarkEnd w:id="0"/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2D62D5"/>
    <w:rsid w:val="00386DE2"/>
    <w:rsid w:val="00756425"/>
    <w:rsid w:val="00C230FC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14</cp:revision>
  <dcterms:created xsi:type="dcterms:W3CDTF">2021-04-12T11:58:00Z</dcterms:created>
  <dcterms:modified xsi:type="dcterms:W3CDTF">2021-06-04T13:04:00Z</dcterms:modified>
</cp:coreProperties>
</file>